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40113451"/>
    <w:p w14:paraId="3820E9F5" w14:textId="145ACF27" w:rsidR="00D454E0" w:rsidRDefault="00D454E0" w:rsidP="00D454E0">
      <w:pPr>
        <w:rPr>
          <w:b/>
          <w:bCs/>
          <w:i/>
          <w:iCs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9D62B" wp14:editId="0AE2BB8D">
                <wp:simplePos x="0" y="0"/>
                <wp:positionH relativeFrom="column">
                  <wp:posOffset>3656968</wp:posOffset>
                </wp:positionH>
                <wp:positionV relativeFrom="paragraph">
                  <wp:posOffset>72928</wp:posOffset>
                </wp:positionV>
                <wp:extent cx="2182086" cy="695095"/>
                <wp:effectExtent l="0" t="0" r="889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086" cy="695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258045" w14:textId="46D029B0" w:rsidR="00D454E0" w:rsidRPr="00D454E0" w:rsidRDefault="00D454E0" w:rsidP="007B25AC">
                            <w:pPr>
                              <w:pStyle w:val="NoSpacing"/>
                            </w:pPr>
                            <w:r w:rsidRPr="00D454E0">
                              <w:t>Frequently Asked Questions</w:t>
                            </w:r>
                          </w:p>
                          <w:p w14:paraId="3ADC1D34" w14:textId="682A8261" w:rsidR="00D454E0" w:rsidRPr="00D454E0" w:rsidRDefault="00D454E0" w:rsidP="007B25AC">
                            <w:pPr>
                              <w:pStyle w:val="NoSpacing"/>
                            </w:pPr>
                            <w:r w:rsidRPr="00D454E0">
                              <w:t>CARES Act Funding</w:t>
                            </w:r>
                          </w:p>
                          <w:p w14:paraId="41D8C311" w14:textId="0D1DA041" w:rsidR="00D454E0" w:rsidRPr="007B25AC" w:rsidRDefault="00D454E0" w:rsidP="007B25A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B25A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Last Updated: </w:t>
                            </w:r>
                            <w:r w:rsidR="00461200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June 1</w:t>
                            </w:r>
                            <w:r w:rsidRPr="007B25A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,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9D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95pt;margin-top:5.75pt;width:171.8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" fillcolor="white [3201]" stroked="f" strokeweight=".5pt">
                <v:textbox>
                  <w:txbxContent>
                    <w:p w14:paraId="4B258045" w14:textId="46D029B0" w:rsidR="00D454E0" w:rsidRPr="00D454E0" w:rsidRDefault="00D454E0" w:rsidP="007B25AC">
                      <w:pPr>
                        <w:pStyle w:val="NoSpacing"/>
                      </w:pPr>
                      <w:r w:rsidRPr="00D454E0">
                        <w:t>Frequently Asked Questions</w:t>
                      </w:r>
                    </w:p>
                    <w:p w14:paraId="3ADC1D34" w14:textId="682A8261" w:rsidR="00D454E0" w:rsidRPr="00D454E0" w:rsidRDefault="00D454E0" w:rsidP="007B25AC">
                      <w:pPr>
                        <w:pStyle w:val="NoSpacing"/>
                      </w:pPr>
                      <w:r w:rsidRPr="00D454E0">
                        <w:t>CARES Act Funding</w:t>
                      </w:r>
                    </w:p>
                    <w:p w14:paraId="41D8C311" w14:textId="0D1DA041" w:rsidR="00D454E0" w:rsidRPr="007B25AC" w:rsidRDefault="00D454E0" w:rsidP="007B25A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7B25A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Last Updated: </w:t>
                      </w:r>
                      <w:r w:rsidR="00461200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June 1</w:t>
                      </w:r>
                      <w:r w:rsidRPr="007B25A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,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61BC2548" wp14:editId="00ACABCE">
            <wp:extent cx="2148840" cy="75184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A56D24A" w14:textId="77777777" w:rsidR="003F73E4" w:rsidRDefault="003F73E4" w:rsidP="0008685C">
      <w:pPr>
        <w:rPr>
          <w:b/>
          <w:bCs/>
          <w:i/>
          <w:iCs/>
        </w:rPr>
      </w:pPr>
    </w:p>
    <w:p w14:paraId="24C2A6B9" w14:textId="48C6B692" w:rsidR="0008685C" w:rsidRDefault="00932200" w:rsidP="0008685C">
      <w:r w:rsidRPr="00932200">
        <w:rPr>
          <w:b/>
          <w:bCs/>
          <w:i/>
          <w:iCs/>
        </w:rPr>
        <w:t>What does TDHCA stand</w:t>
      </w:r>
      <w:r w:rsidRPr="00932200">
        <w:rPr>
          <w:i/>
          <w:iCs/>
        </w:rPr>
        <w:t xml:space="preserve"> for?</w:t>
      </w:r>
    </w:p>
    <w:p w14:paraId="1316AA69" w14:textId="44965296" w:rsidR="00932200" w:rsidRDefault="0008685C" w:rsidP="00932200">
      <w:pPr>
        <w:ind w:firstLine="720"/>
      </w:pPr>
      <w:r>
        <w:t>Texas Department of Housing and Community Affairs</w:t>
      </w:r>
    </w:p>
    <w:p w14:paraId="3CA20287" w14:textId="55EB16EA" w:rsidR="00932200" w:rsidRPr="00932200" w:rsidRDefault="00932200" w:rsidP="0008685C">
      <w:pPr>
        <w:rPr>
          <w:b/>
          <w:bCs/>
          <w:i/>
          <w:iCs/>
        </w:rPr>
      </w:pPr>
      <w:r w:rsidRPr="00932200">
        <w:rPr>
          <w:b/>
          <w:bCs/>
          <w:i/>
          <w:iCs/>
        </w:rPr>
        <w:t>What does ESG stand for?</w:t>
      </w:r>
    </w:p>
    <w:p w14:paraId="5A82E038" w14:textId="3B68FB90" w:rsidR="0008685C" w:rsidRDefault="00932200" w:rsidP="0008685C">
      <w:r>
        <w:tab/>
      </w:r>
      <w:r w:rsidR="0008685C">
        <w:t>Emergency Solutions Grant</w:t>
      </w:r>
    </w:p>
    <w:p w14:paraId="2C509C83" w14:textId="4320B1F9" w:rsidR="0008685C" w:rsidRPr="00932200" w:rsidRDefault="00932200" w:rsidP="0008685C">
      <w:pPr>
        <w:rPr>
          <w:b/>
          <w:bCs/>
          <w:i/>
          <w:iCs/>
        </w:rPr>
      </w:pPr>
      <w:r w:rsidRPr="00932200">
        <w:rPr>
          <w:b/>
          <w:bCs/>
          <w:i/>
          <w:iCs/>
        </w:rPr>
        <w:t>Where can I find the Request for Application for CARES Act Funding offered by MDHA?</w:t>
      </w:r>
    </w:p>
    <w:p w14:paraId="2787628A" w14:textId="40168683" w:rsidR="00932200" w:rsidRDefault="00BA5A4B" w:rsidP="00932200">
      <w:pPr>
        <w:ind w:firstLine="720"/>
      </w:pPr>
      <w:hyperlink r:id="rId5" w:history="1">
        <w:r w:rsidR="00932200" w:rsidRPr="0064374F">
          <w:rPr>
            <w:rStyle w:val="Hyperlink"/>
          </w:rPr>
          <w:t>https://www.mdhadallas.org/tdhca-nofa/</w:t>
        </w:r>
      </w:hyperlink>
    </w:p>
    <w:p w14:paraId="46664CBD" w14:textId="27954EA9" w:rsidR="004F23C9" w:rsidRDefault="004F23C9" w:rsidP="0008685C">
      <w:pPr>
        <w:rPr>
          <w:b/>
          <w:bCs/>
          <w:i/>
          <w:iCs/>
        </w:rPr>
      </w:pPr>
      <w:r>
        <w:rPr>
          <w:b/>
          <w:bCs/>
          <w:i/>
          <w:iCs/>
        </w:rPr>
        <w:t>What is the grant period for this application?</w:t>
      </w:r>
    </w:p>
    <w:p w14:paraId="47E04D95" w14:textId="5F9E2671" w:rsidR="00E24E0D" w:rsidRDefault="00E24E0D" w:rsidP="0008685C">
      <w:r>
        <w:tab/>
        <w:t>The grant start date will begin as soon as the grant agreement is executed with TDHCA. However, all expenditures must be made by July 31, 202</w:t>
      </w:r>
      <w:r w:rsidR="00461200">
        <w:t>1</w:t>
      </w:r>
      <w:r>
        <w:t>.</w:t>
      </w:r>
    </w:p>
    <w:p w14:paraId="61E12D27" w14:textId="206B867F" w:rsidR="00E24E0D" w:rsidRPr="00E24E0D" w:rsidRDefault="00E24E0D" w:rsidP="0008685C">
      <w:r>
        <w:tab/>
        <w:t>If the agency accrued COVID-19 related costs dating back to March 13, 2020, the agency may apply for an agency reimbursement from TDHCA if awarded for CARES Act funding.</w:t>
      </w:r>
    </w:p>
    <w:p w14:paraId="058F9E81" w14:textId="2C40A0D1" w:rsidR="00932200" w:rsidRPr="00932200" w:rsidRDefault="00932200" w:rsidP="0008685C">
      <w:pPr>
        <w:rPr>
          <w:b/>
          <w:bCs/>
          <w:i/>
          <w:iCs/>
        </w:rPr>
      </w:pPr>
      <w:r w:rsidRPr="00932200">
        <w:rPr>
          <w:b/>
          <w:bCs/>
          <w:i/>
          <w:iCs/>
        </w:rPr>
        <w:t>What are the CoC Board approved priorities, including the amount allocated to each funding type?</w:t>
      </w:r>
    </w:p>
    <w:p w14:paraId="3E26B344" w14:textId="77777777" w:rsidR="00461200" w:rsidRDefault="00461200" w:rsidP="00932200">
      <w:r>
        <w:t>The priorities are:</w:t>
      </w:r>
    </w:p>
    <w:p w14:paraId="0A7F7B5C" w14:textId="499C53E9" w:rsidR="00461200" w:rsidRPr="00461200" w:rsidRDefault="00461200" w:rsidP="00932200">
      <w:pPr>
        <w:rPr>
          <w:i/>
          <w:iCs/>
        </w:rPr>
      </w:pPr>
      <w:r w:rsidRPr="00461200">
        <w:rPr>
          <w:i/>
          <w:iCs/>
        </w:rPr>
        <w:t>To serve the most vulnerable people in these categories:</w:t>
      </w:r>
    </w:p>
    <w:p w14:paraId="3071F32A" w14:textId="77777777" w:rsidR="00461200" w:rsidRDefault="00461200" w:rsidP="00932200">
      <w:r>
        <w:tab/>
        <w:t>- Those 65 years old and over</w:t>
      </w:r>
    </w:p>
    <w:p w14:paraId="56746AE4" w14:textId="77777777" w:rsidR="00461200" w:rsidRDefault="00461200" w:rsidP="00932200">
      <w:r>
        <w:tab/>
        <w:t>- Those with chronic health conditions</w:t>
      </w:r>
    </w:p>
    <w:p w14:paraId="0F88BEE6" w14:textId="7CC73942" w:rsidR="00461200" w:rsidRDefault="00461200" w:rsidP="00932200">
      <w:r>
        <w:tab/>
        <w:t>- Unsheltered populations</w:t>
      </w:r>
      <w:r w:rsidR="00932200">
        <w:tab/>
      </w:r>
    </w:p>
    <w:p w14:paraId="1C58C2D5" w14:textId="274D111F" w:rsidR="00461200" w:rsidRPr="00461200" w:rsidRDefault="00461200" w:rsidP="00932200">
      <w:pPr>
        <w:rPr>
          <w:i/>
          <w:iCs/>
        </w:rPr>
      </w:pPr>
      <w:r w:rsidRPr="00461200">
        <w:rPr>
          <w:i/>
          <w:iCs/>
        </w:rPr>
        <w:t>To provide these services</w:t>
      </w:r>
      <w:r>
        <w:rPr>
          <w:i/>
          <w:iCs/>
        </w:rPr>
        <w:t xml:space="preserve"> </w:t>
      </w:r>
      <w:r w:rsidRPr="00461200">
        <w:rPr>
          <w:i/>
          <w:iCs/>
        </w:rPr>
        <w:t xml:space="preserve">to those populations: </w:t>
      </w:r>
    </w:p>
    <w:p w14:paraId="74015E8D" w14:textId="35C331C2" w:rsidR="0008685C" w:rsidRDefault="0008685C" w:rsidP="00932200">
      <w:r>
        <w:t xml:space="preserve">$1,035,000 – Rapid Rehousing </w:t>
      </w:r>
    </w:p>
    <w:p w14:paraId="4300C736" w14:textId="477F581E" w:rsidR="0008685C" w:rsidRDefault="0008685C" w:rsidP="00461200">
      <w:r>
        <w:t xml:space="preserve">$575,000 – Outreach </w:t>
      </w:r>
    </w:p>
    <w:p w14:paraId="43355BB3" w14:textId="77777777" w:rsidR="0008685C" w:rsidRDefault="0008685C" w:rsidP="00461200">
      <w:r>
        <w:t xml:space="preserve">$690,000 – Prevention </w:t>
      </w:r>
    </w:p>
    <w:p w14:paraId="710BCC59" w14:textId="77777777" w:rsidR="0008685C" w:rsidRDefault="00932200" w:rsidP="0008685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Does our agency need to be a member of the </w:t>
      </w:r>
      <w:r w:rsidR="004F23C9">
        <w:rPr>
          <w:b/>
          <w:bCs/>
          <w:i/>
          <w:iCs/>
        </w:rPr>
        <w:t>Continuum</w:t>
      </w:r>
      <w:r>
        <w:rPr>
          <w:b/>
          <w:bCs/>
          <w:i/>
          <w:iCs/>
        </w:rPr>
        <w:t xml:space="preserve"> of Care to apply for this funding?</w:t>
      </w:r>
    </w:p>
    <w:p w14:paraId="6A4D10CC" w14:textId="7B644B90" w:rsidR="004F23C9" w:rsidRDefault="00932200" w:rsidP="0008685C">
      <w:r>
        <w:tab/>
        <w:t>At application submission,</w:t>
      </w:r>
      <w:r w:rsidR="004F23C9">
        <w:t xml:space="preserve"> the applicant does not have to be a member of the Continuum. However, once awarded, the applicant is expected to join the Continuum within 60 days of contract award.</w:t>
      </w:r>
    </w:p>
    <w:p w14:paraId="51B3DD41" w14:textId="4F7B619C" w:rsidR="004F23C9" w:rsidRDefault="004F23C9" w:rsidP="0008685C">
      <w:r>
        <w:lastRenderedPageBreak/>
        <w:tab/>
        <w:t>The ESG program also mandates each agency to enter data into the Homeless Management Information System (HMIS). Award recipients must gain access by contacting the HMIS Director.</w:t>
      </w:r>
    </w:p>
    <w:p w14:paraId="36D75D73" w14:textId="0E3A97B5" w:rsidR="004F23C9" w:rsidRPr="004F23C9" w:rsidRDefault="004F23C9" w:rsidP="0008685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For the Written Standards and the Termination Policy, can we submit our program’s policies and procedures or a written statement that we have </w:t>
      </w:r>
      <w:r w:rsidRPr="004F23C9">
        <w:rPr>
          <w:b/>
          <w:bCs/>
          <w:i/>
          <w:iCs/>
        </w:rPr>
        <w:t>included all applicable standards in our policies?</w:t>
      </w:r>
    </w:p>
    <w:p w14:paraId="36FE2F8B" w14:textId="5B0A1125" w:rsidR="0008685C" w:rsidRDefault="004F23C9" w:rsidP="004F23C9">
      <w:pPr>
        <w:ind w:firstLine="720"/>
      </w:pPr>
      <w:r>
        <w:t>The agency can submit their Policies and Procedures in place of the Written Standards and Termination Policy. However, the agency should include a written statement of where to find these items within the document.</w:t>
      </w:r>
    </w:p>
    <w:p w14:paraId="63D2B2DC" w14:textId="3FCE0CCB" w:rsidR="0008685C" w:rsidRPr="00E24E0D" w:rsidRDefault="0008685C" w:rsidP="0008685C">
      <w:pPr>
        <w:rPr>
          <w:b/>
          <w:bCs/>
          <w:i/>
          <w:iCs/>
        </w:rPr>
      </w:pPr>
      <w:r w:rsidRPr="00E24E0D">
        <w:rPr>
          <w:b/>
          <w:bCs/>
          <w:i/>
          <w:iCs/>
        </w:rPr>
        <w:t>If we have not received funding through MDHA before, will we need to submit Attachment B "Previous Participation"?</w:t>
      </w:r>
    </w:p>
    <w:p w14:paraId="7E26026A" w14:textId="208F580F" w:rsidR="00E24E0D" w:rsidRDefault="00E24E0D" w:rsidP="0008685C">
      <w:r>
        <w:tab/>
        <w:t xml:space="preserve">All applicants must complete Attachment B. </w:t>
      </w:r>
    </w:p>
    <w:p w14:paraId="04D7AC11" w14:textId="43C2C3D0" w:rsidR="0008685C" w:rsidRPr="00E24E0D" w:rsidRDefault="0008685C" w:rsidP="0008685C">
      <w:pPr>
        <w:rPr>
          <w:b/>
          <w:bCs/>
          <w:i/>
          <w:iCs/>
        </w:rPr>
      </w:pPr>
      <w:r w:rsidRPr="00E24E0D">
        <w:rPr>
          <w:b/>
          <w:bCs/>
          <w:i/>
          <w:iCs/>
        </w:rPr>
        <w:t xml:space="preserve">If we have </w:t>
      </w:r>
      <w:r w:rsidR="00E24E0D" w:rsidRPr="00E24E0D">
        <w:rPr>
          <w:b/>
          <w:bCs/>
          <w:i/>
          <w:iCs/>
        </w:rPr>
        <w:t>received</w:t>
      </w:r>
      <w:r w:rsidRPr="00E24E0D">
        <w:rPr>
          <w:b/>
          <w:bCs/>
          <w:i/>
          <w:iCs/>
        </w:rPr>
        <w:t xml:space="preserve"> first round TDHCA CARES </w:t>
      </w:r>
      <w:r w:rsidR="00461200">
        <w:rPr>
          <w:b/>
          <w:bCs/>
          <w:i/>
          <w:iCs/>
        </w:rPr>
        <w:t xml:space="preserve">Act Funding </w:t>
      </w:r>
      <w:r w:rsidRPr="00E24E0D">
        <w:rPr>
          <w:b/>
          <w:bCs/>
          <w:i/>
          <w:iCs/>
        </w:rPr>
        <w:t xml:space="preserve">as an existing </w:t>
      </w:r>
      <w:r w:rsidR="00E24E0D" w:rsidRPr="00E24E0D">
        <w:rPr>
          <w:b/>
          <w:bCs/>
          <w:i/>
          <w:iCs/>
        </w:rPr>
        <w:t>recipient</w:t>
      </w:r>
      <w:r w:rsidRPr="00E24E0D">
        <w:rPr>
          <w:b/>
          <w:bCs/>
          <w:i/>
          <w:iCs/>
        </w:rPr>
        <w:t>, will we be penalized on this application for this portion of the CARES funding?</w:t>
      </w:r>
    </w:p>
    <w:p w14:paraId="21CB9997" w14:textId="0F2B3620" w:rsidR="00E24E0D" w:rsidRDefault="00E24E0D" w:rsidP="00E24E0D">
      <w:pPr>
        <w:ind w:firstLine="720"/>
      </w:pPr>
      <w:r>
        <w:t>No</w:t>
      </w:r>
      <w:r w:rsidR="001D2757">
        <w:t>.</w:t>
      </w:r>
    </w:p>
    <w:p w14:paraId="0D4D9380" w14:textId="35B60F51" w:rsidR="0008685C" w:rsidRPr="00C3474A" w:rsidRDefault="0008685C" w:rsidP="00E24E0D">
      <w:pPr>
        <w:rPr>
          <w:b/>
          <w:bCs/>
          <w:i/>
          <w:iCs/>
        </w:rPr>
      </w:pPr>
      <w:r w:rsidRPr="00C3474A">
        <w:rPr>
          <w:b/>
          <w:bCs/>
          <w:i/>
          <w:iCs/>
        </w:rPr>
        <w:t xml:space="preserve">Does emergency shelter </w:t>
      </w:r>
      <w:r w:rsidR="00E24E0D" w:rsidRPr="00C3474A">
        <w:rPr>
          <w:b/>
          <w:bCs/>
          <w:i/>
          <w:iCs/>
        </w:rPr>
        <w:t>qualify</w:t>
      </w:r>
      <w:r w:rsidRPr="00C3474A">
        <w:rPr>
          <w:b/>
          <w:bCs/>
          <w:i/>
          <w:iCs/>
        </w:rPr>
        <w:t xml:space="preserve"> within the "prevention" priorities or is it a </w:t>
      </w:r>
      <w:r w:rsidR="00C3474A" w:rsidRPr="00C3474A">
        <w:rPr>
          <w:b/>
          <w:bCs/>
          <w:i/>
          <w:iCs/>
        </w:rPr>
        <w:t>standalone</w:t>
      </w:r>
      <w:r w:rsidRPr="00C3474A">
        <w:rPr>
          <w:b/>
          <w:bCs/>
          <w:i/>
          <w:iCs/>
        </w:rPr>
        <w:t xml:space="preserve"> </w:t>
      </w:r>
      <w:r w:rsidR="00C3474A" w:rsidRPr="00C3474A">
        <w:rPr>
          <w:b/>
          <w:bCs/>
          <w:i/>
          <w:iCs/>
        </w:rPr>
        <w:t>category</w:t>
      </w:r>
      <w:r w:rsidRPr="00C3474A">
        <w:rPr>
          <w:b/>
          <w:bCs/>
          <w:i/>
          <w:iCs/>
        </w:rPr>
        <w:t>?</w:t>
      </w:r>
    </w:p>
    <w:p w14:paraId="200F7A64" w14:textId="6EDE80E8" w:rsidR="00E24E0D" w:rsidRDefault="00E24E0D" w:rsidP="0008685C">
      <w:r>
        <w:tab/>
        <w:t xml:space="preserve">Emergency shelters </w:t>
      </w:r>
      <w:r w:rsidR="00C3474A">
        <w:t>can</w:t>
      </w:r>
      <w:r>
        <w:t xml:space="preserve"> apply for prevention funding.</w:t>
      </w:r>
      <w:r w:rsidR="00461200">
        <w:t xml:space="preserve"> But Prevention funding has a very specific set of services that fall under that category and must be used for those “at imminent risk” of homelessness.  </w:t>
      </w:r>
      <w:r>
        <w:t xml:space="preserve">It is strongly recommended that emergency shelters use prevention funding in conjunction with </w:t>
      </w:r>
      <w:r w:rsidR="00C3474A">
        <w:t>diversion practices.</w:t>
      </w:r>
    </w:p>
    <w:p w14:paraId="28C28B59" w14:textId="77777777" w:rsidR="00C3474A" w:rsidRPr="00C3474A" w:rsidRDefault="00C3474A" w:rsidP="0008685C">
      <w:pPr>
        <w:rPr>
          <w:b/>
          <w:bCs/>
          <w:i/>
          <w:iCs/>
        </w:rPr>
      </w:pPr>
      <w:r w:rsidRPr="00C3474A">
        <w:rPr>
          <w:b/>
          <w:bCs/>
          <w:i/>
          <w:iCs/>
        </w:rPr>
        <w:t>C</w:t>
      </w:r>
      <w:r w:rsidR="0008685C" w:rsidRPr="00C3474A">
        <w:rPr>
          <w:b/>
          <w:bCs/>
          <w:i/>
          <w:iCs/>
        </w:rPr>
        <w:t xml:space="preserve">an you apply for more than one category? </w:t>
      </w:r>
    </w:p>
    <w:p w14:paraId="20EF3CBE" w14:textId="7CC83C69" w:rsidR="0008685C" w:rsidRDefault="0008685C" w:rsidP="00C3474A">
      <w:pPr>
        <w:ind w:firstLine="720"/>
      </w:pPr>
      <w:r>
        <w:t xml:space="preserve">Yes. </w:t>
      </w:r>
    </w:p>
    <w:p w14:paraId="555AE582" w14:textId="77777777" w:rsidR="0008685C" w:rsidRPr="00C3474A" w:rsidRDefault="0008685C" w:rsidP="0008685C">
      <w:pPr>
        <w:rPr>
          <w:b/>
          <w:bCs/>
          <w:i/>
          <w:iCs/>
        </w:rPr>
      </w:pPr>
      <w:r w:rsidRPr="00C3474A">
        <w:rPr>
          <w:b/>
          <w:bCs/>
          <w:i/>
          <w:iCs/>
        </w:rPr>
        <w:t>How granular should we go on outcomes for Street Outreach? i.e. some are served by assistance with recovering critical documents, some are provided transportation to a family member's home, some are entered on the HPL, etc.</w:t>
      </w:r>
    </w:p>
    <w:p w14:paraId="1B239F3E" w14:textId="345A899D" w:rsidR="0008685C" w:rsidRDefault="00C3474A" w:rsidP="0008685C">
      <w:r>
        <w:tab/>
        <w:t>Agencies should use the narrative section on the application to describe in as much detail as possible, how the money will be spent.</w:t>
      </w:r>
    </w:p>
    <w:p w14:paraId="36D02169" w14:textId="2859C1D8" w:rsidR="0008685C" w:rsidRPr="00C3474A" w:rsidRDefault="0008685C" w:rsidP="0008685C">
      <w:pPr>
        <w:rPr>
          <w:b/>
          <w:bCs/>
        </w:rPr>
      </w:pPr>
      <w:r w:rsidRPr="00C3474A">
        <w:rPr>
          <w:b/>
          <w:bCs/>
        </w:rPr>
        <w:t xml:space="preserve">Are these funds for </w:t>
      </w:r>
      <w:r w:rsidR="00C16D06">
        <w:rPr>
          <w:b/>
          <w:bCs/>
        </w:rPr>
        <w:t xml:space="preserve">those that are literally </w:t>
      </w:r>
      <w:r w:rsidRPr="00C3474A">
        <w:rPr>
          <w:b/>
          <w:bCs/>
        </w:rPr>
        <w:t>homeless only?</w:t>
      </w:r>
    </w:p>
    <w:p w14:paraId="3AE44225" w14:textId="09A4C7B1" w:rsidR="00C3474A" w:rsidRDefault="00C3474A" w:rsidP="0008685C">
      <w:r>
        <w:tab/>
        <w:t xml:space="preserve">Prevention is the only category that supports those who are </w:t>
      </w:r>
      <w:r w:rsidR="00D454E0">
        <w:t>at imminent risk</w:t>
      </w:r>
      <w:r>
        <w:t>.</w:t>
      </w:r>
    </w:p>
    <w:p w14:paraId="339DDD19" w14:textId="691EA71C" w:rsidR="0008685C" w:rsidRPr="00C3474A" w:rsidRDefault="0008685C" w:rsidP="0008685C">
      <w:pPr>
        <w:rPr>
          <w:b/>
          <w:bCs/>
          <w:i/>
          <w:iCs/>
        </w:rPr>
      </w:pPr>
      <w:r w:rsidRPr="00C3474A">
        <w:rPr>
          <w:b/>
          <w:bCs/>
          <w:i/>
          <w:iCs/>
        </w:rPr>
        <w:t>If E</w:t>
      </w:r>
      <w:r w:rsidR="00C3474A">
        <w:rPr>
          <w:b/>
          <w:bCs/>
          <w:i/>
          <w:iCs/>
        </w:rPr>
        <w:t xml:space="preserve">mergency </w:t>
      </w:r>
      <w:r w:rsidRPr="00C3474A">
        <w:rPr>
          <w:b/>
          <w:bCs/>
          <w:i/>
          <w:iCs/>
        </w:rPr>
        <w:t>S</w:t>
      </w:r>
      <w:r w:rsidR="00C3474A">
        <w:rPr>
          <w:b/>
          <w:bCs/>
          <w:i/>
          <w:iCs/>
        </w:rPr>
        <w:t>helter</w:t>
      </w:r>
      <w:r w:rsidRPr="00C3474A">
        <w:rPr>
          <w:b/>
          <w:bCs/>
          <w:i/>
          <w:iCs/>
        </w:rPr>
        <w:t xml:space="preserve"> is not listed as a priority would this funding support an E</w:t>
      </w:r>
      <w:r w:rsidR="00C3474A">
        <w:rPr>
          <w:b/>
          <w:bCs/>
          <w:i/>
          <w:iCs/>
        </w:rPr>
        <w:t xml:space="preserve">mergency </w:t>
      </w:r>
      <w:r w:rsidRPr="00C3474A">
        <w:rPr>
          <w:b/>
          <w:bCs/>
          <w:i/>
          <w:iCs/>
        </w:rPr>
        <w:t>S</w:t>
      </w:r>
      <w:r w:rsidR="00C3474A">
        <w:rPr>
          <w:b/>
          <w:bCs/>
          <w:i/>
          <w:iCs/>
        </w:rPr>
        <w:t>helter</w:t>
      </w:r>
      <w:r w:rsidRPr="00C3474A">
        <w:rPr>
          <w:b/>
          <w:bCs/>
          <w:i/>
          <w:iCs/>
        </w:rPr>
        <w:t xml:space="preserve"> application?</w:t>
      </w:r>
    </w:p>
    <w:p w14:paraId="2480BD89" w14:textId="50E0D25E" w:rsidR="00C3474A" w:rsidRDefault="00C3474A" w:rsidP="00C3474A">
      <w:pPr>
        <w:ind w:firstLine="720"/>
      </w:pPr>
      <w:r>
        <w:t>Yes</w:t>
      </w:r>
      <w:r w:rsidR="00461200">
        <w:t xml:space="preserve">, it can be applied for, but is not a priority with this funding source. </w:t>
      </w:r>
    </w:p>
    <w:p w14:paraId="16B8ABCE" w14:textId="77777777" w:rsidR="00D454E0" w:rsidRPr="00C16D06" w:rsidRDefault="0008685C" w:rsidP="00C3474A">
      <w:pPr>
        <w:rPr>
          <w:b/>
          <w:bCs/>
        </w:rPr>
      </w:pPr>
      <w:r w:rsidRPr="00C16D06">
        <w:rPr>
          <w:b/>
          <w:bCs/>
        </w:rPr>
        <w:t xml:space="preserve">For the prevention funding - does it also include diversion? Meaning we could serve those who are at imminent risk </w:t>
      </w:r>
      <w:r w:rsidR="00D454E0" w:rsidRPr="00C16D06">
        <w:rPr>
          <w:b/>
          <w:bCs/>
        </w:rPr>
        <w:t>and</w:t>
      </w:r>
      <w:r w:rsidRPr="00C16D06">
        <w:rPr>
          <w:b/>
          <w:bCs/>
        </w:rPr>
        <w:t xml:space="preserve"> those who come to </w:t>
      </w:r>
      <w:r w:rsidR="00D454E0" w:rsidRPr="00C16D06">
        <w:rPr>
          <w:b/>
          <w:bCs/>
        </w:rPr>
        <w:t xml:space="preserve">the </w:t>
      </w:r>
      <w:r w:rsidRPr="00C16D06">
        <w:rPr>
          <w:b/>
          <w:bCs/>
        </w:rPr>
        <w:t xml:space="preserve">shelter but who could get diverted to family while we work to secure alternative </w:t>
      </w:r>
      <w:r w:rsidR="00D454E0" w:rsidRPr="00C16D06">
        <w:rPr>
          <w:b/>
          <w:bCs/>
        </w:rPr>
        <w:t>housing</w:t>
      </w:r>
      <w:r w:rsidRPr="00C16D06">
        <w:rPr>
          <w:b/>
          <w:bCs/>
        </w:rPr>
        <w:t>?</w:t>
      </w:r>
    </w:p>
    <w:p w14:paraId="324745F3" w14:textId="4AEFDCD8" w:rsidR="0008685C" w:rsidRDefault="0008685C" w:rsidP="00D454E0">
      <w:pPr>
        <w:ind w:firstLine="720"/>
      </w:pPr>
      <w:r>
        <w:lastRenderedPageBreak/>
        <w:t>Yes</w:t>
      </w:r>
      <w:r w:rsidR="00461200">
        <w:t xml:space="preserve">, but there must be a clear distinction when you are using Diversion funding for those who are literally homeless and Prevention funding for those at imminent risk of becoming homeless. </w:t>
      </w:r>
      <w:r>
        <w:t xml:space="preserve">  </w:t>
      </w:r>
    </w:p>
    <w:p w14:paraId="1E673111" w14:textId="7F42C1BB" w:rsidR="0008685C" w:rsidRPr="00D454E0" w:rsidRDefault="0008685C" w:rsidP="0008685C">
      <w:pPr>
        <w:rPr>
          <w:b/>
          <w:bCs/>
          <w:i/>
          <w:iCs/>
        </w:rPr>
      </w:pPr>
      <w:r w:rsidRPr="00D454E0">
        <w:rPr>
          <w:b/>
          <w:bCs/>
          <w:i/>
          <w:iCs/>
        </w:rPr>
        <w:t>How do we find out if we are members of CoC?</w:t>
      </w:r>
    </w:p>
    <w:p w14:paraId="27499D0A" w14:textId="5B2364CE" w:rsidR="00D454E0" w:rsidRDefault="00BA5A4B" w:rsidP="00D454E0">
      <w:pPr>
        <w:ind w:firstLine="720"/>
      </w:pPr>
      <w:hyperlink r:id="rId6" w:history="1">
        <w:r w:rsidR="00D454E0" w:rsidRPr="0064374F">
          <w:rPr>
            <w:rStyle w:val="Hyperlink"/>
          </w:rPr>
          <w:t>https://www.mdhadallas.org/coc-membership/</w:t>
        </w:r>
      </w:hyperlink>
    </w:p>
    <w:p w14:paraId="1B82F9F9" w14:textId="5DBC5759" w:rsidR="0008685C" w:rsidRPr="00D454E0" w:rsidRDefault="0008685C" w:rsidP="0008685C">
      <w:pPr>
        <w:rPr>
          <w:b/>
          <w:bCs/>
          <w:i/>
          <w:iCs/>
        </w:rPr>
      </w:pPr>
      <w:r w:rsidRPr="00D454E0">
        <w:rPr>
          <w:b/>
          <w:bCs/>
          <w:i/>
          <w:iCs/>
        </w:rPr>
        <w:t xml:space="preserve">Are there case management dollars for </w:t>
      </w:r>
      <w:r w:rsidR="00D454E0">
        <w:rPr>
          <w:b/>
          <w:bCs/>
          <w:i/>
          <w:iCs/>
        </w:rPr>
        <w:t>R</w:t>
      </w:r>
      <w:r w:rsidRPr="00D454E0">
        <w:rPr>
          <w:b/>
          <w:bCs/>
          <w:i/>
          <w:iCs/>
        </w:rPr>
        <w:t xml:space="preserve">apid </w:t>
      </w:r>
      <w:r w:rsidR="00D454E0">
        <w:rPr>
          <w:b/>
          <w:bCs/>
          <w:i/>
          <w:iCs/>
        </w:rPr>
        <w:t>R</w:t>
      </w:r>
      <w:r w:rsidRPr="00D454E0">
        <w:rPr>
          <w:b/>
          <w:bCs/>
          <w:i/>
          <w:iCs/>
        </w:rPr>
        <w:t>ehousing?</w:t>
      </w:r>
    </w:p>
    <w:p w14:paraId="7E861751" w14:textId="39AC3BBB" w:rsidR="0008685C" w:rsidRDefault="00D454E0" w:rsidP="00D454E0">
      <w:pPr>
        <w:ind w:firstLine="720"/>
      </w:pPr>
      <w:r>
        <w:t>Y</w:t>
      </w:r>
      <w:r w:rsidR="0008685C">
        <w:t>es</w:t>
      </w:r>
      <w:r>
        <w:t>.</w:t>
      </w:r>
    </w:p>
    <w:sectPr w:rsidR="00086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5C"/>
    <w:rsid w:val="0008685C"/>
    <w:rsid w:val="001C3FDC"/>
    <w:rsid w:val="001D2757"/>
    <w:rsid w:val="003F73E4"/>
    <w:rsid w:val="00461200"/>
    <w:rsid w:val="004F23C9"/>
    <w:rsid w:val="007B25AC"/>
    <w:rsid w:val="00932200"/>
    <w:rsid w:val="00BA5A4B"/>
    <w:rsid w:val="00C16D06"/>
    <w:rsid w:val="00C3474A"/>
    <w:rsid w:val="00D454E0"/>
    <w:rsid w:val="00D83C83"/>
    <w:rsid w:val="00E2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65CA4"/>
  <w15:chartTrackingRefBased/>
  <w15:docId w15:val="{C221B5FA-DDB4-4052-A938-3C571493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22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2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B25A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16D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dhadallas.org/coc-membership/" TargetMode="External"/><Relationship Id="rId5" Type="http://schemas.openxmlformats.org/officeDocument/2006/relationships/hyperlink" Target="https://www.mdhadallas.org/tdhca-nof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shavonmoore@mdha1.onmicrosoft.com</dc:creator>
  <cp:keywords/>
  <dc:description/>
  <cp:lastModifiedBy>davidgruber@mdha1.onmicrosoft.com</cp:lastModifiedBy>
  <cp:revision>2</cp:revision>
  <dcterms:created xsi:type="dcterms:W3CDTF">2020-06-01T20:11:00Z</dcterms:created>
  <dcterms:modified xsi:type="dcterms:W3CDTF">2020-06-01T20:11:00Z</dcterms:modified>
</cp:coreProperties>
</file>